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7322E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3001953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 xml:space="preserve">WS10 </w:t>
      </w:r>
      <w:r w:rsidR="00050008">
        <w:t>CORISO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:rsidTr="00EB4EEC">
        <w:trPr>
          <w:trHeight w:val="567"/>
        </w:trPr>
        <w:tc>
          <w:tcPr>
            <w:tcW w:w="75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:rsidTr="00EB4EEC">
        <w:trPr>
          <w:trHeight w:val="709"/>
        </w:trPr>
        <w:tc>
          <w:tcPr>
            <w:tcW w:w="750" w:type="dxa"/>
          </w:tcPr>
          <w:p w:rsidR="00295AE5" w:rsidRDefault="00295AE5"/>
        </w:tc>
        <w:tc>
          <w:tcPr>
            <w:tcW w:w="5470" w:type="dxa"/>
          </w:tcPr>
          <w:p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; Stärke </w:t>
            </w:r>
            <w:r>
              <w:t>365</w:t>
            </w:r>
            <w:r w:rsidR="00695E35">
              <w:t xml:space="preserve"> mm</w:t>
            </w:r>
          </w:p>
          <w:p w:rsidR="00295AE5" w:rsidRDefault="007176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</w:t>
            </w:r>
            <w:r w:rsidR="005F1F41">
              <w:rPr>
                <w:sz w:val="22"/>
              </w:rPr>
              <w:t xml:space="preserve"> Höhen 124 / 149 / 174 / 199 / 224 mm</w:t>
            </w: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:rsidTr="00EB4EEC">
        <w:tc>
          <w:tcPr>
            <w:tcW w:w="750" w:type="dxa"/>
          </w:tcPr>
          <w:p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CORISO Höhenausgleichsziegel</w:t>
            </w:r>
          </w:p>
          <w:p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F5646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F5646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8E4A02" w:rsidRDefault="008E4A02" w:rsidP="008E4A02">
            <w:pPr>
              <w:rPr>
                <w:sz w:val="18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sz w:val="18"/>
              </w:rPr>
              <w:t xml:space="preserve">UNIPOR CORISO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vermauern.</w:t>
            </w:r>
          </w:p>
          <w:p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E4A02" w:rsidRDefault="00E127F7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12</w:t>
            </w:r>
          </w:p>
          <w:p w:rsidR="008E4A02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5,0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  <w:r w:rsidRPr="00E127F7">
              <w:rPr>
                <w:rFonts w:cs="Arial"/>
                <w:sz w:val="18"/>
                <w:szCs w:val="16"/>
              </w:rPr>
              <w:t>Fax: 08131-555-1</w:t>
            </w:r>
            <w:r w:rsidR="00BF5646" w:rsidRPr="00E127F7">
              <w:rPr>
                <w:rFonts w:cs="Arial"/>
                <w:sz w:val="18"/>
                <w:szCs w:val="16"/>
              </w:rPr>
              <w:t>299</w:t>
            </w:r>
            <w:r w:rsidR="00B92C1B" w:rsidRPr="00E127F7">
              <w:rPr>
                <w:rFonts w:cs="Arial"/>
                <w:sz w:val="18"/>
                <w:szCs w:val="16"/>
              </w:rPr>
              <w:t xml:space="preserve"> </w:t>
            </w:r>
          </w:p>
          <w:p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  <w:r w:rsidRPr="00E127F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BF5646" w:rsidRPr="00E127F7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:rsidR="008E4A02" w:rsidRPr="008E4A02" w:rsidRDefault="008E4A02" w:rsidP="008E4A02">
            <w:pPr>
              <w:rPr>
                <w:sz w:val="18"/>
                <w:szCs w:val="18"/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8E4A02" w:rsidRDefault="008E4A02" w:rsidP="008E4A02">
            <w:pPr>
              <w:rPr>
                <w:lang w:val="en-US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:rsidR="008E4A02" w:rsidRPr="008E4A02" w:rsidRDefault="008E4A02" w:rsidP="008E4A02">
            <w:pPr>
              <w:rPr>
                <w:lang w:val="en-US"/>
              </w:rPr>
            </w:pPr>
          </w:p>
        </w:tc>
        <w:tc>
          <w:tcPr>
            <w:tcW w:w="1329" w:type="dxa"/>
          </w:tcPr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Pr="007E18D9" w:rsidRDefault="001865F5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Pr="001865F5" w:rsidRDefault="001865F5" w:rsidP="00EB4EEC">
            <w:pPr>
              <w:rPr>
                <w:bCs/>
                <w:sz w:val="18"/>
              </w:rPr>
            </w:pPr>
          </w:p>
          <w:p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8E4A02" w:rsidRDefault="008E4A02" w:rsidP="00EB4EEC">
            <w:pPr>
              <w:rPr>
                <w:bCs/>
                <w:sz w:val="16"/>
              </w:rPr>
            </w:pPr>
          </w:p>
        </w:tc>
      </w:tr>
      <w:tr w:rsidR="008E4A02" w:rsidTr="00EB4EEC">
        <w:tc>
          <w:tcPr>
            <w:tcW w:w="750" w:type="dxa"/>
          </w:tcPr>
          <w:p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  <w:bookmarkStart w:id="0" w:name="_GoBack"/>
      <w:bookmarkEnd w:id="0"/>
    </w:p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25" w:rsidRDefault="00347525">
      <w:r>
        <w:separator/>
      </w:r>
    </w:p>
  </w:endnote>
  <w:endnote w:type="continuationSeparator" w:id="0">
    <w:p w:rsidR="00347525" w:rsidRDefault="0034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25" w:rsidRDefault="00347525">
      <w:r>
        <w:separator/>
      </w:r>
    </w:p>
  </w:footnote>
  <w:footnote w:type="continuationSeparator" w:id="0">
    <w:p w:rsidR="00347525" w:rsidRDefault="0034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32904"/>
    <w:rsid w:val="00241308"/>
    <w:rsid w:val="002733AD"/>
    <w:rsid w:val="00273CA1"/>
    <w:rsid w:val="00295AE5"/>
    <w:rsid w:val="002E20FD"/>
    <w:rsid w:val="00301CCF"/>
    <w:rsid w:val="00347525"/>
    <w:rsid w:val="00351458"/>
    <w:rsid w:val="0039301C"/>
    <w:rsid w:val="00400544"/>
    <w:rsid w:val="00400560"/>
    <w:rsid w:val="00424283"/>
    <w:rsid w:val="004B5C1A"/>
    <w:rsid w:val="004D7D17"/>
    <w:rsid w:val="004E31BF"/>
    <w:rsid w:val="005932A6"/>
    <w:rsid w:val="005B4AA3"/>
    <w:rsid w:val="005F1F41"/>
    <w:rsid w:val="00600B93"/>
    <w:rsid w:val="00695E35"/>
    <w:rsid w:val="006E2809"/>
    <w:rsid w:val="006E6F86"/>
    <w:rsid w:val="00717645"/>
    <w:rsid w:val="007322E1"/>
    <w:rsid w:val="007B14FA"/>
    <w:rsid w:val="007E18D9"/>
    <w:rsid w:val="008E4A02"/>
    <w:rsid w:val="00933456"/>
    <w:rsid w:val="009D3932"/>
    <w:rsid w:val="00A56E2A"/>
    <w:rsid w:val="00B32155"/>
    <w:rsid w:val="00B35269"/>
    <w:rsid w:val="00B87005"/>
    <w:rsid w:val="00B918F9"/>
    <w:rsid w:val="00B92C1B"/>
    <w:rsid w:val="00BF5646"/>
    <w:rsid w:val="00C52CC2"/>
    <w:rsid w:val="00CE68E6"/>
    <w:rsid w:val="00D24F0B"/>
    <w:rsid w:val="00D355A8"/>
    <w:rsid w:val="00D73482"/>
    <w:rsid w:val="00D81AF1"/>
    <w:rsid w:val="00DF78A9"/>
    <w:rsid w:val="00E127F7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8FD96AF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3</cp:revision>
  <cp:lastPrinted>2018-08-21T12:32:00Z</cp:lastPrinted>
  <dcterms:created xsi:type="dcterms:W3CDTF">2018-11-06T08:32:00Z</dcterms:created>
  <dcterms:modified xsi:type="dcterms:W3CDTF">2018-11-06T08:33:00Z</dcterms:modified>
</cp:coreProperties>
</file>